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van het KB/WIB 92, op het stuk van de bedrijfsvoorheffing</w:t>
      </w:r>
      <w:bookmarkEnd w:id="1"/>
    </w:p>
    <w:p/>
    <w:p/>
    <w:p>
      <w:pPr>
        <w:numPr>
          <w:ilvl w:val="0"/>
          <w:numId w:val="2"/>
        </w:numPr>
      </w:pPr>
      <w:r>
        <w:rPr/>
        <w:t xml:space="preserve">Datum : 03-12-2009</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2009003445</w:t>
      </w:r>
    </w:p>
    <w:p/>
    <w:p/>
    <w:p>
      <w:pPr/>
      <w:r>
        <w:rPr/>
        <w:t xml:space="preserve">Artikel 1 Bijlage III van het KB/WIB 92, vervangen door het koninklijk besluit van 5 december 2008 en gewijzigd bij de koninklijke besluiten van 2 februari 2009, 14 april 2009 en 22 juni 2009 wordt vervangen door de bijlage van dit besluit.
Artikel 2 Artikel 1 is van toepassing op de vanaf 1 januari 2010 betaalde of toegekende inkomsten.
Artikel 3 Onze Minister die bevoegd is voor Financiën is belast met de uitvoering van dit besluit.
   Gegeven te Brussel, 3 december 2009.
  ALBERT
  Van Koningswege :
  De Vice-Eerste Minister en Minister van Financiën,
  D. REYNDERS
  BIJLAGE.
Artikel N BBijlage III van het koninklijk besluit tot uitvoering van het Wetboek van de inkomstenbelastingen 1992 Schalen en regels die van toepassing zijn om de bedrijfsvoorheffing vast te stellen bij de bron verschuldigd op inkomsten betaald of toegekend vanaf 1 januari 2010
   (Voor de bijlage III, zie : 2009-12-03/10)</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5905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2024-05-31T08:32:23+02:00</dcterms:created>
  <dcterms:modified xsi:type="dcterms:W3CDTF">2024-05-31T08:32:23+02:00</dcterms:modified>
</cp:coreProperties>
</file>

<file path=docProps/custom.xml><?xml version="1.0" encoding="utf-8"?>
<Properties xmlns="http://schemas.openxmlformats.org/officeDocument/2006/custom-properties" xmlns:vt="http://schemas.openxmlformats.org/officeDocument/2006/docPropsVTypes"/>
</file>