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Décret portant assentiment à : 1° l'accord entre le Royaume de Belgique et le Quartier Général Suprême des Forces Alliées en Europe concernant les conditions particulières d'installation et de fonctionnement de ce Quartier Général sur le territoire du Royaume de Belgique, signé à Bruxelles le 12 mai 1967, tel que modifié et complété par l'accord signé à Bruxelles le 10 septembre 2013 ; 2° l'accord, signé à Bruxelles le 10 septembre 2013, modifiant et complétant l'accord, signé à Bruxelles le 12 mai 1967, entre le Royaume de Belgique et le Quartier Général Suprême des Forces Alliées en Europe concernant les conditions particulières d'installation et de fonctionnement de ce Quartier Général sur le territoire du Royaume de Belgique</w:t>
      </w:r>
      <w:bookmarkEnd w:id="1"/>
    </w:p>
    <w:p/>
    <w:p/>
    <w:p>
      <w:pPr>
        <w:numPr>
          <w:ilvl w:val="0"/>
          <w:numId w:val="2"/>
        </w:numPr>
      </w:pPr>
      <w:r>
        <w:rPr/>
        <w:t xml:space="preserve">Datum : 16-01-2015</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2015035109</w:t>
      </w:r>
    </w:p>
    <w:p/>
    <w:p/>
    <w:p>
      <w:pPr/>
      <w:r>
        <w:rPr/>
        <w:t xml:space="preserve">Article 1 Le présent décret règle une matière communautaire et régionale.
Article 2 Sortiront leur plein et entier effet :
  1° l'accord entre le Royaume de Belgique et le Quartier Général Suprême des Forces Alliées en Europe concernant les conditions particulières d'installation et de fonctionnement de ce Quartier Général sur le territoire du Royaume de Belgique, signé à Bruxelles le 12 mai 1967, tel que modifié et complété par l'accord signé à Bruxelles le 10 septembre 2013 ;
  2° l'accord, signé à Bruxelles le 10 septembre 2013, modifiant et complétant l'accord, signé à Bruxelles le 12 mai 1967, entre le Royaume de Belgique et le Quartier Général Suprême des Forces Alliées en Europe concernant les conditions particulières d'installation et de fonctionnement de ce Quartier Général sur le territoire du Royaume de Belgique.
Article 3 Le présent décret produit ses effets le 10 septembre 2013.</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F0957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2024-04-28T10:01:15+02:00</dcterms:created>
  <dcterms:modified xsi:type="dcterms:W3CDTF">2024-04-28T10:01:15+02:00</dcterms:modified>
</cp:coreProperties>
</file>

<file path=docProps/custom.xml><?xml version="1.0" encoding="utf-8"?>
<Properties xmlns="http://schemas.openxmlformats.org/officeDocument/2006/custom-properties" xmlns:vt="http://schemas.openxmlformats.org/officeDocument/2006/docPropsVTypes"/>
</file>