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vaststelling van de ontwikkelingszones met inachtneming van artikel 107, § 3, punt c, van het Verdrag betreffende de werking van de Europese Unie en de maximumbedragen vastgesteld bij de richtlijnen betreffende de regionale steunmaatregelen voor de periode 2014-2020</w:t>
      </w:r>
      <w:bookmarkEnd w:id="1"/>
    </w:p>
    <w:p/>
    <w:p/>
    <w:p>
      <w:pPr>
        <w:numPr>
          <w:ilvl w:val="0"/>
          <w:numId w:val="2"/>
        </w:numPr>
      </w:pPr>
      <w:r>
        <w:rPr/>
        <w:t xml:space="preserve">Datum : 29-01-2015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2015200574</w:t>
      </w:r>
    </w:p>
    <w:p/>
    <w:p/>
    <w:p>
      <w:pPr/>
      <w:r>
        <w:rPr/>
        <w:t xml:space="preserve">Artikel 1 De volgende steden en gemeenten worden erkend als ontwikkelingsgebieden in de zin van artikel 107, § 3, punt c, van het Verdrag betreffende de werking van de Europese Unie:
  1° in de provincie Henegouwen: Aiseau-Presles, Anderlues, Antoing, Aat, Beaumont, Beloeil, Bernissart, Binche, Boussu, 's-Gravenbrakel, Brugelette, Brunehaut, Celles, Chapelle-lez-Herlaimont, Charleroi, Châtelet, Chièvres, Chimay, Colfontaine, Komen-Waasten, Courcelles, Dour, Ecaussinnes, Elzele, Edingen, Erquelinnes, Estaimpuis, Estinnes, Farciennes, Fleurus, Vloesberg, Fontaine-l'Evêque, Frameries, Frasnes-lez-Anvaing, Froidchapelle, Gerpinnes, Ham-sur-Heure-Nalinnes, Hensies, Honnelles, Jurbeke, La Louvière, Le Roeulx, Lens, Les Bons Villers, Lessen, Leuze-en-Hainaut, Lobbes, Manage, Merbes-le-Château, Momignies, Bergen, Mont-de-l'Enclus, Montigny-le-Tilleul, Morlanwelz, Moeskroen, Pecq, Péruwelz, Pont-à-Celles, Quaregnon, Quévy, Quiévrain, Rumes, Saint-Ghislain, Seneffe, Silly, Sivry-Rance, Zinnik, Thuin en Doornik;
  2° in de provincie Waals-Brabant : Itter, Nijvel en Tubeke;
  3° in de provincie Namen: Andenne, Ciney, Dinant, Houyet, Jemeppe-sur-Sambre, Rochefort, Sambreville en Somme-Leuze;
  4° in de provincie Luik: Amay, Awans, Baelen, Dison, Engis, Eupen, Flémalle, Grâce-Hollogne, Herstal, Hoei, Luik, Lontzen, Oupeye, Saint-Georges, Saint-Nicolas, Sankt-Vith, Seraing, Stavelot, Thimister-Clermont, Verlaine, Verviers, Villers-le-Bouillet, Wezet, Wanze, en Welkenraedt;
  5° in de provincie Luxemburg: Bastenaken, Gouvy, Houffalize, La Roche-en-Ardenne, Libin, Libramont-Chevigny, Marche-en-Famenne, Neufchâteau, Sainte-Ode, Tellin en Vielsalm.
Artikel 2 Overeenkomstig de richtsnoeren betreffende de staatssteun met een gewestelijk doel voor de periode 2014-2020, Publicatieblad, nr. C 209/01, 23 juli 2013, worden de maximumbedragen in ontwikkelingsgebieden uitgedrukt in bruto-subsidie-equivalent en worden ze bepaald in functie van de de omvan van de onderneming en de ligging ervan in één van de steden en gemeenten bedoeld in artikel 1.
  Volgende maximumbedragen zijn van toepassing :
                                     Grote ondernemingen         Middelgrote
  ondernemingen         Kleine
  ondernemingen                      Ondernemingen gelegen in één van de steden en gemeenten bedoeld in artikel 1, 1°, voor de periode van 1 juli 2014 tot 31 december 2017         15 %         25 %         35 %                      Ondernemingen gelegen in één van de steden en gemeenten bedoeld in artikel 1, 1°, voor de periode vanaf 1 januari 2018         10 %         20 %         30 %                      Ondernemingen gelegen in één van de steden en gemeenten bedoeld in artikel 1, 2°, vanaf 1 januari 2014         10 %         20 %         30 %                  
Artikel 3 Dit besluit heeft uitwerking op 1 juli 2014.
Artikel 4 De Minister van Economie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09E8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2024-05-02T08:51:53+02:00</dcterms:created>
  <dcterms:modified xsi:type="dcterms:W3CDTF">2024-05-02T08:51:53+02:00</dcterms:modified>
</cp:coreProperties>
</file>

<file path=docProps/custom.xml><?xml version="1.0" encoding="utf-8"?>
<Properties xmlns="http://schemas.openxmlformats.org/officeDocument/2006/custom-properties" xmlns:vt="http://schemas.openxmlformats.org/officeDocument/2006/docPropsVTypes"/>
</file>