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Reglement van de Nationale Bank van België van 2 december 2019 houdende aanvullende eigenvermogensvereisten voor macroprudentieel risico met betrekking tot blootstellingen gedekt door residentieel vastgoed in België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02-12-2019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2020A20215</w:t>
      </w:r>
    </w:p>
    <w:p/>
    <w:p/>
    <w:p>
      <w:pPr/>
      <w:r>
        <w:rPr/>
        <w:t xml:space="preserve">Artikel 1 - Toepassingsgebied
  § 1. Voor de toepassing van dit besluit wordt verstaan onder:
  1° "Verordening (EU) nr. 575/2013": Verordening (EU) nr. 575/2013 van het Europees Parlement en de Raad van 26 juni 2013 betreffende prudentiële vereisten voor kredietinstellingen en beleggingsondernemingen en tot wijziging van Verordening (EU) nr. 648/2012;
  2° "de wet van 25 april 2014": de wet van 25 april 2014 op het statuut van en het toezicht op kredietinstellingen en beursvennootschappen.
  § 2. De bepalingen van dit reglement zijn van toepassing op de kredietinstellingen bedoeld in Boek II en Boek III, Titel II van de wet van 25 april 2014.
Artikel 2 - Macroprudentiële maatregel
  Bij door onroerend goed gedekte blootstellingen aan retailcliënten wordt het risicogewicht voor blootstellingen die worden berekend overeenkomstig artikel 154 van Verordening (EU) nr. 575/2013, vermeerderd met een bedrag dat gelijk is aan de som van de volgende elementen:
  1° 5 procent van de door onroerend goed gedekte blootstellingen op particulieren; en
  2° 33 procent van het risicogewicht voor alle blootstellingen op particulieren die worden berekend overeenkomstig artikel 154 van Verordening (EU) nr. 575/2013.
Artikel 3 - Inwerkingtreding
  "Dit reglement treedt in werking op 1 mei 2020, op voorwaarde dat de Raad van de Europese Unie de in artikel 2 van dit reglement bedoelde maatregel, waarvan uiterlijk op 30 januari 2020 overeenkomstig artikel 458, lid 2, van Verordening (EU) nr. 575/2013 kennis moet worden gegeven, niet heeft verworpen overeenkomstig artikel 458, lid 4, van deze verordening.".
  Dit reglement treedt buiten werking op 30 april 2021.
  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46DE2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2024-06-01T00:38:39+02:00</dcterms:created>
  <dcterms:modified xsi:type="dcterms:W3CDTF">2024-06-01T00:38:39+02:00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