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ministériel déterminant le scénario de référence pour l'enchère de 2022 en application de l'article 3, § 7, de l'arrêté royal du 28 avril 2021 fixant les paramètres permettant de déterminer le volume de capacité à acheter, y compris leur méthode de calcul, et les autres paramètres nécessaires à l'organisation des enchères, ainsi que la méthode et les conditions d'obtention de dérogations individuelles à l'application de la ou des limites de prix intermédiaires dans le cadre du mécanisme de rémunération des capacités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14-09-2021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2021033124</w:t>
      </w:r>
    </w:p>
    <w:p/>
    <w:p/>
    <w:p>
      <w:pPr/>
      <w:r>
        <w:rPr/>
        <w:t xml:space="preserve">Article 1 § 1er. Les définitions contenues à l'article 1er de l'arrêté royal du 28 avril 2021 fixant les paramètres permettant de déterminer le volume de capacité à acheter, y compris leur méthode de calcul, et les autres paramètres nécessaires à l'organisation des enchères, ainsi que la méthode et les conditions d'obtention de dérogations individuelles à l'application de la ou des limites de prix intermédiaires dans le cadre du mécanisme de rémunération des capacités, sont applicables au présent arrêté.
  § 2. Pour l'application du présent arrêté, il faut entendre par : " la mise au enchère T-4 " : la mise aux enchères quatre ans avant la période de fourniture de capacité débutant le 1er novembre 2026.
Article 2 Le présent arrêté s'applique à Elia Transmission Belgium SA, ayant son siège social à 1000 Bruxelles, Boulevard de l'Empereur 20, dont le numéro d'entreprise est 0731.852.231.
Article 3 Pour l'organisation de la mise aux enchères T-4, Elia Transmission Belgium SA utilise le scénario de référence annexé au présent arrêté .
Article 4 Une expédition certifiée conforme du présent arrêté est adressée à Elia Transmission Belgium SA et à la Commission de Régulation de l'Electricité et du Gaz.
Article 5 Le présent arrêté entre en vigueur le 15 septembre 2021.
  ANNEXE.
Article N(Image non reprise pour des raisons techniques, voir M.B. du 28-09-2021, p. 103677)
  Modifiée par:
  &lt;AM 2021-09-23/01, Art. 1, 002; En vigueur : 15-09-2021&gt; 
  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35AA6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2024-05-28T21:01:54+02:00</dcterms:created>
  <dcterms:modified xsi:type="dcterms:W3CDTF">2024-05-28T21:01:54+02:00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