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Datum : 14-09-2004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Wetgeving</w:t>
      </w:r>
    </w:p>
    <w:p>
      <w:pPr>
        <w:numPr>
          <w:ilvl w:val="0"/>
          <w:numId w:val="2"/>
        </w:numPr>
      </w:pPr>
      <w:r>
        <w:rPr/>
        <w:t xml:space="preserve">Bron : Numac 2004011384</w:t>
      </w:r>
    </w:p>
    <w:p>
      <w:pPr>
        <w:numPr>
          <w:ilvl w:val="0"/>
          <w:numId w:val="2"/>
        </w:numPr>
      </w:pPr>
      <w:r>
        <w:rPr/>
        <w:t xml:space="preserve">Auteur : SERVICE PUBLIC FEDERAL ECONOMIE, P.M.E., CLASSES MOYENNES ET ENERGIE</w:t>
      </w:r>
    </w:p>
    <w:p/>
    <w:p/>
    <w:p>
      <w:pPr/>
      <w:r>
        <w:rPr/>
        <w:t xml:space="preserve">Qualité et Sécurité. - Service des explosifs Liste des explosifs reconnus
La liste annexée à l'arrêté ministériel du 3 novembre 1958 portant reconnaissance officielle et classement des explosifs (Moniteur belge du 24 décembre 1958) est à compléter comme suit en vertu de l'arrêté ministériel en date du 7 juillet 2004 :
- au marginal A2-2, chiffre 8, 26), ajouter :
« Le produit explosif « Dynamite Gomme F 19 » peut porter également la dénomination « DYNAROC 9A. »;
- au marginal A2-2, chiffre 8, 31), ajouter :
« Le produit explosif « EURODYN 2000 » peut porter également la dénomination « DYNAROC 6A ».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E881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2024-05-20T21:46:00+02:00</dcterms:created>
  <dcterms:modified xsi:type="dcterms:W3CDTF">2024-05-20T21:46:00+02:00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