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20-02-2004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2004014023</w:t>
      </w:r>
    </w:p>
    <w:p>
      <w:pPr>
        <w:numPr>
          <w:ilvl w:val="0"/>
          <w:numId w:val="2"/>
        </w:numPr>
      </w:pPr>
      <w:r>
        <w:rPr/>
        <w:t xml:space="preserve">Auteur : SERVICE PUBLIC FEDERAL MOBILITE ET TRANSPORTS</w:t>
      </w:r>
    </w:p>
    <w:p/>
    <w:p/>
    <w:p>
      <w:pPr/>
      <w:r>
        <w:rPr/>
        <w:t xml:space="preserve">Modification des normes et prescriptions afférentes à la sécurité de l'infrastructure ferroviaire et à son utilisation 
Par arrêté royal du 21 janvier 2004, sont approuvés les règlements mentionnés ci-après : 
- le Règlement général pour l'Utilisation de l'Infrastructure ferroviaire (RGUIF) - fascicule 4.1.3 - « Coordination des travaux et des circulations »; 
- le Règlement général pour l'Utilisation de l'Infrastructure ferroviaire (RGUIF) - fascicule 3.1.3. - « La conduite » - premier supplément, remplaçant les pages 5 et 6 de la version du fascicule 3.1.3 actuellement en vigueur; 
- le Règlement général pour l'Utilisation de l'Infrastructure ferroviaire (RGUIF) - fascicule 6.1.7 - « La circulation à voie unique ou à contrevoie sur un tronçon de ligne à double voie », premier supplément, remplaçant les pages 11/12, 25/26 (uniquement en néerlandais), 31/32 (uniquement en néerlandais) et 35/36, de la version du fascicule 6.1.7 actuellement en vigueur. 
Par le même arrêté, sont abrogés les règlements suivants du Règlement général de l'Exploitation (RGE), approuvés par l'arrêté ministériel du 26 mars 1999 : 
- le fascicule 122.18; 
- le fascicule 123.11; 
- le fascicule 123.21; 
- le fascicule 123.22. 
Ces modifications peuvent être consultées à la Direction générale Transport terrestre du Service public fédéral Mobilité et Transports, Canstereen 12, 1000 Bruxelles.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BD6E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2024-04-28T06:10:13+02:00</dcterms:created>
  <dcterms:modified xsi:type="dcterms:W3CDTF">2024-04-28T06:10:13+02:00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